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Katılım bankacılığının reel ekonomi ile kurduğu güçlü bağ, özellikle KOBİ…</w:t>
      </w:r>
    </w:p>
    <w:p>
      <w:r>
        <w:rPr>
          <w:i/>
          <w:color w:val="5F6B7A"/>
          <w:sz w:val="18"/>
        </w:rPr>
        <w:t>Metin türü: Kurumsal İletişim Metni · Tarih: 28 Nisan 2026 · Kalite skoru: 96/100 · Dil: Türkçe</w:t>
      </w:r>
    </w:p>
    <w:p>
      <w:pPr>
        <w:jc w:val="both"/>
      </w:pPr>
      <w:r>
        <w:t>Katılım bankacılığının reel ekonomi ile kurduğu güçlü bağ, özellikle KOBİ finansmanı açısından önemli bir avantaj sağlıyor. Ancak finansmana erişim, teminat yapısı ve maliyet gibi başlıklar hâlâ önemli tartışma alanları. Bu kapsamda, katılım bankalarının reel sektöre sağladığı finansman modellerini nasıl değerlendiriyorsunuz? Önümüzdeki dönemde bu alanda daha kapsayıcı ve etkin yapılar için hangi yeni yaklaşımlar geliştirilebilir?</w:t>
      </w:r>
    </w:p>
    <w:p>
      <w:pPr>
        <w:jc w:val="both"/>
      </w:pPr>
      <w:r>
        <w:t>Katılım finans prensiplerinin doğası gereği reel ekonomiyle iç içe geçmiş bir yapıya sahip olması, en temel ayırt edici özelliğimiz ve en büyük gücümüzdür. Yıllık enflasyonun Ocak 2026 itibarıyla yüzde 30,65 düzeyinde olduğu mevcut ekonomik konjonktürde, bizler fonlarımızı doğrudan üretime, ticarete ve yatırıma yönlendirerek ekonominin can damarları olan işletmelerle bir kader birliği içinde hareket ediyoruz. Bu yaklaşım, bizi klasik bir finansman sağlayıcı olmaktan çıkarıp, müşterilerimizin büyüme yolculuğunda onlara eşlik eden stratejik bir çözüm ortağı konumuna getiriyor. Özellikle ülke ekonomimizin belkemiğini oluşturan KOBİ'ler için bu bağ, sadece bir finansman ilişkisi değil, aynı zamanda sürdürülebilir bir gelişim modelinin temelidir. Bizim için her bir finansman işlemi, bir makinenin alınması, bir fabrikanın kurulması veya bir ihracatın gerçekleşmesi gibi somut bir ekonomik değere dönüşmelidir. Bu felsefe, bilançolarımızın daha sağlıklı ve dayanıklı olmasını sağlarken, aynı zamanda toplumsal refaha doğrudan katkıda bulunmamıza imkân tanıyor.</w:t>
      </w:r>
    </w:p>
    <w:p>
      <w:pPr>
        <w:jc w:val="both"/>
      </w:pPr>
      <w:r>
        <w:t>Mevcut finansman modellerimiz, bu felsefeyi hayata geçirecek şekilde çeşitlilik göstermektedir. Murabaha (mal ve hizmet alımı finansmanı), İcara (finansal kiralama) ve Mudaraba/Muşaraka (kâr-zarar ortaklığı) gibi yöntemlerle KOBİ'lerin ve büyük ölçekli işletmelerin farklı ihtiyaçlarına yönelik esnek çözümler üretiyoruz. Özellikle mal ve varlık temelli finansman modellerimiz, reel sektörün yatırım ve işletme sermayesi ihtiyaçlarını karşılarken, kaynakların spekülatif alanlar yerine doğrudan üretime aktarılmasını güvence altına almaktadır. Bu stratejimizin somut bir yansıması olarak, 2025 yıl sonu itibarıyla reel sektöre kullandırdığımız fonlar 654 milyar TL’ye, toplam aktif büyüklüğümüz ise 1.352 milyar TL’ye ulaşmıştır. Kuveyt Türk olarak, dijital kanallarımız üzerinden sunduğumuz Tedarikçi Finansmanı ve Teminat Mektubu gibi ürünlerle süreçleri hızlandırıyor, müşterilerimizin operasyonel verimliliğini artırıyoruz. Kuveyt Türk Finans Grubu çatısı altında faaliyet gösteren iştiraklerimizle bu hizmetleri 360 derece bir yaklaşımla zenginleştiriyoruz. Örneğin, Neova Sigorta ile işletmelerin varlıklarını katılım sigortacılığı prensipleriyle güvence altına alırken, KT Portföy aracılığıyla girişimcilik ve sürdürülebilirlik odaklı fonlarla reel sektöre yeni kaynaklar yaratıyoruz.</w:t>
      </w:r>
    </w:p>
    <w:p>
      <w:pPr>
        <w:jc w:val="both"/>
      </w:pPr>
      <w:r>
        <w:t>Bununla birlikte, ticari kredi faizlerinin Mart 2026 itibarıyla yüzde 60 seviyelerini aştığı bir ortamda, finansmana erişim, teminat yapısı ve maliyet gibi konuların sektörümüz için önemli gelişim alanları olduğunun farkındayız. Bu alanlarda ezber bozan ve yenilikçi yaklaşımlar geliştirmek, stratejimizin merkezinde yer alıyor. Finansmana erişimi kolaylaştırmak adına, teknoloji iştirakimiz Architecht tarafından geliştirilen altyapılar sayesinde dijital kanallarımızı uçtan uca bir deneyim sunacak şekilde tasarlıyoruz. Artık müşterilerimiz şubeye gelmeden, Kuveyt Türk Mobil üzerinden ticari finansman başvurularını yapabiliyor ve süreçlerini anlık olarak takip edebiliyor. Teminat yapısındaki katılıkları aşmak için ise geleneksel teminatların ötesine geçen modeller üzerinde çalışıyoruz. Proje finansmanlarında firmanın nakit akışını, potansiyelini ve yönetim kabiliyetini merkeze alan değerlendirme sistemleri geliştiriyoruz. Ayrıca, Lonca Girişimcilik Merkezi ve Lonca GSYF gibi yapılarla, teminatı olmayan ancak parlak bir fikri olan girişimcilere destek olarak geleceğin büyük işletmelerini bugünden yeşertiyoruz.</w:t>
      </w:r>
    </w:p>
    <w:p>
      <w:pPr>
        <w:jc w:val="both"/>
      </w:pPr>
      <w:r>
        <w:t>Önümüzdeki dönemde bu alandaki etkinliğimizi daha da artırmak için birkaç stratejik alana odaklanacağız. Bunlardan ilki, "değer zinciri finansmanı" modelini yaygınlaştırmaktır. Bu modelle, sadece bir firmayı değil, o firmanın tedarikçilerinden distribütörlerine kadar tüm ekosistemini bir bütün olarak finanse etmeyi hedefliyoruz. Bu yaklaşım, hem riskin dağıtılmasına hem de zincirdeki tüm halkaların sağlıklı bir şekilde büyümesine olanak tanıyacaktır. İkinci olarak, veri analitiği ve yapay zekâ teknolojilerini daha etkin kullanarak, her bir müşterimiz için terzi usulü, yani "hiper kişiselleştirilmiş" finansman paketleri oluşturacağız. Müşterimizin sektörel dinamiklerini, dönemsel ihtiyaçlarını ve büyüme potansiyelini analiz ederek onlara en uygun maliyet ve vade yapılarını proaktif olarak sunacağız. Bu sayede finansman süreçlerini daha adil, şeffaf ve verimli hale getireceğiz.</w:t>
      </w:r>
    </w:p>
    <w:p>
      <w:pPr>
        <w:jc w:val="both"/>
      </w:pPr>
      <w:r>
        <w:t>Son olarak, sürdürülebilirlik ve yeşil dönüşüm, finansman modellerimizin ayrılmaz bir parçası olacaktır. Avrupa Yeşil Mutabakatı gibi küresel trendler doğrultusunda, yeşil enerji yatırımları, kaynak verimliliği projeleri ve döngüsel ekonomi modelleri geliştiren firmalara yönelik özel finansman paketleri sunacağız. Geçmişte başarıyla gerçekleştirdiğimiz "Sürdürülebilir Sukuk" ihraçlarımızdan elde ettiğimiz tecrübeyle, yeşil ve sosyal odaklı projeleri fonlamaya devam edeceğiz. Nihai hedefimiz, katılım finansın reel ekonomiyle olan güçlü bağını, teknoloji ve inovasyonla birleştirerek daha kapsayıcı, daha adil ve daha sürdürülebilir bir finansal ekosistem inşa etmektir. ‘Rotamız dijital, odağımız insan’ yaklaşımımızla, reel sektörün sadece finansman ihtiyacını karşılayan değil, aynı zamanda onlarla birlikte büyüyen ve onlara yol gösteren bir kurum olarak sektörümüze öncülük etmeyi sürdüreceğiz.</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Katılım bankacılığının reel ekonomi ile kurduğu güçlü bağ, özellikle KOBİ…</dc:title>
  <dc:subject/>
  <dc:creator>CEO Metin Yazarı</dc:creator>
  <cp:keywords/>
  <dc:description>generated by python-docx</dc:description>
  <cp:lastModifiedBy/>
  <cp:revision>1</cp:revision>
  <dcterms:created xsi:type="dcterms:W3CDTF">2013-12-23T23:15:00Z</dcterms:created>
  <dcterms:modified xsi:type="dcterms:W3CDTF">2013-12-23T23:15:00Z</dcterms:modified>
  <cp:category/>
</cp:coreProperties>
</file>