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Son birkaç yılda hangi bankacılık, sigorta ve diğer finansal ürünlerde…</w:t>
      </w:r>
    </w:p>
    <w:p>
      <w:r>
        <w:rPr>
          <w:i/>
          <w:color w:val="5F6B7A"/>
          <w:sz w:val="18"/>
        </w:rPr>
        <w:t>Metin türü: Kurumsal İletişim Metni · Tarih: 15 Eylül 2026 · Kalite skoru: 97/100 · Dil: Türkçe</w:t>
      </w:r>
    </w:p>
    <w:p>
      <w:pPr>
        <w:keepNext/>
        <w:spacing w:before="240"/>
      </w:pPr>
      <w:r>
        <w:rPr>
          <w:b/>
        </w:rPr>
        <w:t>1) Son birkaç yılda hangi bankacılık, sigorta ve diğer finansal ürünlerde kârlılık yükseldi hangilerinde düştü?</w:t>
      </w:r>
    </w:p>
    <w:p>
      <w:pPr>
        <w:jc w:val="both"/>
      </w:pPr>
      <w:r>
        <w:t>Geride bıraktığımız dönem, küresel ve yerel ölçekte ekonomik dinamiklerin yeniden şekillendiği, buna bağlı olarak finansal ürünlerin kârlılık yapılarının da önemli ölçüde değiştiği bir süreç oldu. Bankamız özelinde ve sektör genelinde değerlendirdiğimizde, özellikle kâr payı marjlarına duyarlı ve reel ekonomiye doğrudan dokunan ürün gruplarında kârlılığın belirgin şekilde yükseldiğini gözlemledik. Bu çerçevede, özellikle Türk Lirası cinsinden kullandırdığımız ticari finansman ürünleri kârlılıkta öncü rol oynadı. Ticari kredi faizlerinin yükseldiği bu ortamda, artan fonlama maliyetlerini fiyatlamalara etkin bir şekilde yansıtmamız bu başarıda kilit rol üstlendi. İhracatın finansmanı ve stratejik sektörlere yönelik selektif finansman paketlerimiz, hem ülkemiz ekonomisine sağladığı katma değer hem de marj performansı açısından oldukça tatmin edici sonuçlar üretti. Bu alanlardaki güçlü pozisyonumuz, bilançomuzun kârlılık kalitesini doğrudan destekleyen en önemli unsurlardan biri haline gelmiştir.</w:t>
      </w:r>
    </w:p>
    <w:p>
      <w:pPr>
        <w:jc w:val="both"/>
      </w:pPr>
      <w:r>
        <w:t>Bununla birlikte, kâr payı dışı gelirlerin toplam gelirlerimiz içindeki payını artırma stratejimizin bir yansıması olarak, ödeme sistemleri ve dijital bankacılık hizmetlerinde de kârlılık artışı kaydettik. Bu stratejimizin somut bir yansıması olarak, 2025 yıl sonu itibarıyla net ücret ve komisyon gelirlerimiz bir önceki yıla göre yüzde 75'in üzerinde artarak 16 milyar TL'yi aşmıştır. Özellikle KOBİ ve ticari müşterilerimize sunduğumuz Cebim POS gibi yenilikçi çözümler, dış ticaret işlemlerindeki komisyon gelirleri ve dijital kanallar üzerinden gerçekleştirilen para transferi ve fatura ödemeleri gibi hizmetler, istikrarlı ve yüksek marjlı bir gelir akışı yarattı. İştirakimiz Neova Sigorta tarafında ise, artan risk farkındalığına paralel olarak tamamlayıcı sağlık sigortası, siber güvenlik sigortası ve mühendislik sigortaları gibi özel ve katma değerli ürünlerde hem prim üretiminde hem de teknik kârlılıkta ciddi bir artış yaşandı. Bu ürünler, standart ve rekabetin yoğun olduğu ürünlere kıyasla daha yüksek bir kârlılık potansiyeli sunarak sigortacılık faaliyetlerimizin genel performansını yukarı taşıdı.</w:t>
      </w:r>
    </w:p>
    <w:p>
      <w:pPr>
        <w:jc w:val="both"/>
      </w:pPr>
      <w:r>
        <w:t>Diğer taraftan, kârlılığın daha sınırlı kaldığı veya marjların baskılandığı alanlar da mevcuttu. Özellikle geçmiş dönemlerde düşük kâr payı oranlarıyla ve uzun vadelerle kullandırılmış olan konut finansmanı portföyleri, fonlama maliyetlerindeki hızlı yükseliş karşısında marj daralmasıyla karşılaştı. Bu durum, aktif-pasif yönetiminde vade uyumunun ve değişken kâr payı oranlı ürünlerin ne denli kritik olduğunu bir kez daha teyit etmiştir. Benzer şekilde, bireysel segmentte rekabetin oldukça yoğun olduğu standart ihtiyaç finansmanı ürünlerinde de kârlılık, ticari segmentteki ürünlere kıyasla daha mütevazı bir seviyede kaldı. Bankamız, bu alanlarda hacim büyümesinden ziyade, müşteri ilişkilerini derinleştiren ve çapraz satış potansiyeli yaratan bir yaklaşımı benimseyerek toplam müşteri değerini maksimize etmeye odaklanmıştır.</w:t>
      </w:r>
    </w:p>
    <w:p>
      <w:pPr>
        <w:jc w:val="both"/>
      </w:pPr>
      <w:r>
        <w:t>Varlık yönetimi tarafında ise iştirakimiz KT Portföy aracılığıyla sunduğumuz yatırım fonları ve emeklilik fonları, piyasa koşullarına bağlı olarak değişken bir performans sergilemekle birlikte, yönetim ücreti gelirleri sayesinde istikrarlı bir kârlılık kaynağı olmayı sürdürdü. Özellikle altın ve sürdürülebilirlik temalı fonlarımıza olan ilgi, bu alandaki gelir tabanımızı güçlendirdi. Özetle, son birkaç yılın kârlılık tablosu, stratejik odaklanmanın, dijitalleşmenin ve katma değerli ürünlere yönelimin ne kadar doğru bir yol haritası olduğunu bizlere net bir şekilde göstermiştir. Bu dönem, geleneksel fonlama ve finansman faaliyetlerinin ötesinde, teknoloji ve hizmet odaklı bir gelir modelinin önemini kanıtlamıştır.</w:t>
      </w:r>
    </w:p>
    <w:p>
      <w:pPr>
        <w:keepNext/>
        <w:spacing w:before="240"/>
      </w:pPr>
      <w:r>
        <w:rPr>
          <w:b/>
        </w:rPr>
        <w:t>2) Değişimin nedeni nedir?</w:t>
      </w:r>
    </w:p>
    <w:p>
      <w:pPr>
        <w:jc w:val="both"/>
      </w:pPr>
      <w:r>
        <w:t>Bu kârlılık değişiminin ardında yatan temel nedenleri birkaç ana başlık altında toplamak mümkündür. İlk ve en belirleyici faktör, şüphesiz para politikası çerçevesinde yaşanan normalleşme adımları ve buna bağlı olarak kâr payı oranlarında gözlemlenen yükseliş eğilimidir. Ortalama fonlama maliyetinin yüzde 37 seviyesinde seyrettiği bu ortamda, aktif ve pasif kalemlerini doğru yönetebilen, fiyatlama disiplinini koruyabilen ve kâr payı hassasiyeti yüksek olan ticari finansman gibi alanlara odaklanabilen kurumlar, net kâr payı marjlarını başarılı bir şekilde genişletmiştir. Nitekim bankamız bu stratejiyi başarıyla uygulayarak 2025 yıl sonu itibarıyla toplam aktiflerini 1.352 milyar TL'ye taşırken, net dönem kârını 40,4 milyar TL seviyesine çıkarmıştır. Bu sonuçlar, ihtiyatlı bilanço yönetimimizin ve dinamik aktif-pasif komitesi kararlarımızın, bu makroekonomik dönüşüme ne denli hızlı adapte olduğumuzun bir kanıtıdır.</w:t>
      </w:r>
    </w:p>
    <w:p>
      <w:pPr>
        <w:jc w:val="both"/>
      </w:pPr>
      <w:r>
        <w:t>İkinci önemli neden, düzenleyici otoritelerin reel ekonomiyi desteklemeye yönelik attığı adımlar ve uyguladığı selektif politikalardır. Özellikle yatırım, üretim ve ihracat gibi stratejik öneme sahip alanlara yönelik finansman akışını teşvik eden düzenlemeler, bankaları bu segmentlere daha fazla yönlendirmiştir. Kuveyt Türk olarak bizim için bu alanlar zaten her zaman öncelikli olduğundan, söz konusu politikalar mevcut stratejimizle tam bir uyum sergilemiş ve bu segmentlerdeki büyüme iştahımızı ve kârlılığımızı doğal olarak artırmıştır. Bu durum, sadece finansal bir sonuç değil, aynı zamanda ülkemizin sürdürülebilir kalkınma hedeflerine verdiğimiz desteğin de somut bir göstergesidir. Dolayısıyla, makro ihtiyati tedbirler ve stratejik yönlendirmeler, kârlılığın belirli ürün gruplarında yoğunlaşmasında kilit bir rol oynamıştır.</w:t>
      </w:r>
    </w:p>
    <w:p>
      <w:pPr>
        <w:jc w:val="both"/>
      </w:pPr>
      <w:r>
        <w:t>Üçüncü ve belki de en yapısal neden, dijitalleşmenin bankacılık sektöründe yarattığı köklü dönüşümdür. Müşteri davranışlarındaki değişim ve teknolojiye yaptığımız kesintisiz yatırımlar, gelir modelimizi temelden etkilemiştir. Kuveyt Türk Mobil, İnternet Şube ve API Market gibi platformlarımız üzerinden sunduğumuz hizmetler, operasyonel verimliliği artırırken aynı zamanda yüksek marjlı komisyon gelirleri yaratmıştır. Örneğin, Lonca Girişimcilik Merkezi aracılığıyla desteklediğimiz finteklerle kurduğumuz iş birlikleri, bize yeni pazarlara ve müşteri segmentlerine ulaşma imkânı tanırken, geleneksel bankacılığın dışında yeni gelir akışları oluşturmamızı sağlamıştır. Bu teknolojik atılımlar, kârlılığın sadece kâr payı marjına bağımlı bir yapıdan çıkarak, daha çeşitli, istikrarlı ve ölçeklenebilir bir temele oturmasına zemin hazırlamıştır.</w:t>
      </w:r>
    </w:p>
    <w:p>
      <w:pPr>
        <w:jc w:val="both"/>
      </w:pPr>
      <w:r>
        <w:t>Son olarak, sigortacılık ve varlık yönetimi gibi alanlardaki değişimi tetikleyen faktör ise artan finansal okuryazarlık ve risk algısıdır. Küresel ve yerel belirsizlikler, bireyleri ve kurumları finansal geleceklerini güvence altına almaya yöneltmiştir. Bu durum, Neova Sigorta’nın sunduğu hayat dışı sigorta ürünlerine ve KT Portföy’ün yönettiği Bireysel Emeklilik Sistemi (BES) fonlarına olan talebi artırmıştır. Müşteriler artık sadece temel bankacılık ürünlerini değil, aynı zamanda servetlerini koruyacak ve büyütecek bütüncül finansal çözümleri talep etmektedir. Bu talep değişimi, katma değeri yüksek, danışmanlık ve uzmanlık gerektiren ürünlerin kârlılığını doğal olarak yükseltmiştir. Kısacası, bu değişim süreci makroekonomik konjonktür, stratejik regülasyonlar, teknolojik devrim ve müşteri beklentilerindeki evrimin bir bütün olarak etkileşiminin bir sonucudur.</w:t>
      </w:r>
    </w:p>
    <w:p>
      <w:pPr>
        <w:keepNext/>
        <w:spacing w:before="240"/>
      </w:pPr>
      <w:r>
        <w:rPr>
          <w:b/>
        </w:rPr>
        <w:t>3) Önümüzdeki dönemde hangi bankacılık ürünü, sigorta ürünü kârlılığında artış olur? Neler öngörüyorsunuz? Açıklar mısınız?</w:t>
      </w:r>
    </w:p>
    <w:p>
      <w:pPr>
        <w:jc w:val="both"/>
      </w:pPr>
      <w:r>
        <w:t>Önümüzdeki döneme ilişkin öngörülerimiz, mevcut trendlerin devamı ve yeni gelişen fırsatların bir sentezine dayanmaktadır. Bankacılık ürünleri tarafında, sürdürülebilirlik ve yeşil dönüşüm temalı finansman ürünlerinin kârlılık potansiyelinin katlanarak artacağını öngörüyoruz. Gerek uluslararası anlaşmalar gerekse kurumsal yatırımcıların artan ilgisi, şirketleri yeşil yatırımlara yönlendirmektedir. Bu çerçevede, yenilenebilir enerji projelerinin (GES, RES vb.) finansmanı, enerji verimliliği yatırımları ve yeşil sukuk ihraçları gibi ürünler, hem stratejik önemleri hem de sundukları cazip marjlar nedeniyle kârlılıkta öne çıkacaktır. Kuveyt Türk olarak bu alandaki öncü rolümüzü pekiştirerek, sürdürülebilir finansman pazarındaki payımızı ve kârlılığımızı artırmayı hedefliyoruz. Bu alan, sadece finansal bir getiri değil, aynı zamanda kurumsal itibar ve toplumsal sorumluluk anlamında da büyük bir değer taşımaktadır.</w:t>
      </w:r>
    </w:p>
    <w:p>
      <w:pPr>
        <w:jc w:val="both"/>
      </w:pPr>
      <w:r>
        <w:t>Dijital bankacılık ve teknoloji odaklı hizmetlerin kârlılıktaki yükselişinin de ivmelenerek devam edeceğini düşünüyoruz. Özellikle KOBİ’lere ve ticari işletmelere yönelik geliştirdiğimiz platform bankacılığı çözümleri, bu artışın lokomotifi olacaktır. Online Finansman altyapımız üzerinden sunduğumuz uçtan uca dijital finansman süreçleri, muhasebe ve ERP sistemleriyle entegre çalışan nakit yönetimi çözümleri ve API Market aracılığıyla sunduğumuz servis modeli bankacılığı (BaaS) hizmetleri, kârlılığı yüksek ve operasyonel maliyeti düşük yeni gelir kapıları açacaktır. Müşterilerimiz için sadece bir finansman sağlayıcı değil, onların dijital dönüşüm yolculuklarında bir teknoloji ortağı olmayı hedefliyoruz. Bu yaklaşım, müşteri bağlılığını artırırken, istikrarlı ve öngörülebilir komisyon gelirleri yaratarak kârlılık yapımızı daha da güçlendirecektir.</w:t>
      </w:r>
    </w:p>
    <w:p>
      <w:pPr>
        <w:jc w:val="both"/>
      </w:pPr>
      <w:r>
        <w:t>Sigortacılık tarafında ise iştirakimiz Neova Sigorta aracılığıyla, kişiselleştirilmiş ve veri analitiğine dayalı ürünlerin kârlılıkta fark yaratacağını öngörüyoruz. Özellikle siber güvenlik risklerinin arttığı bir dünyada, kurumlara özel olarak tasarlanan siber sigorta poliçeleri en hızlı büyüyen ve en kârlı alanlardan biri olmaya adaydır. Bunun yanı sıra, iklim değişikliğinin etkileriyle birlikte tarım sektörüne yönelik parametrik sigortalar gibi yenilikçi ürünler de hem çiftçiler için bir güvence hem de sigorta şirketleri için önemli bir kârlılık alanı sunacaktır. Bireysel tarafta ise tamamlayıcı sağlık sigortası ve Bireysel Emeklilik Sistemi (BES) fonlarının, artan refah ve gelecek kaygılarıyla birlikte popülerliğini ve kârlılığını korumasını bekliyoruz. Veriye dayalı risk modellemesi ve kişiye özel fiyatlama, bu alandaki kârlılığı maksimize etmenin anahtarı olacaktır.</w:t>
      </w:r>
    </w:p>
    <w:p>
      <w:pPr>
        <w:jc w:val="both"/>
      </w:pPr>
      <w:r>
        <w:t>Son olarak, varlık ve portföy yönetimi hizmetlerinin de kârlılıkta parlayan bir yıldız olacağını öngörüyoruz. Finansal piyasalardaki çeşitliliğin ve karmaşıklığın artması, bireysel ve kurumsal yatırımcıları profesyonel desteğe daha fazla yöneltmektedir. İştirakimiz KT Portföy aracılığıyla sunduğumuz özel portföy yönetimi hizmetleri, girişim sermayesi yatırım fonları (GSYF) ve gayrimenkul yatırım fonları (GYF) gibi alternatif yatırım ürünleri, standart mevduat benzeri ürünlere göre çok daha yüksek bir getiri ve kârlılık potansiyeli barındırmaktadır. Bu alanda müşterilerimize sunduğumuz uzmanlık ve danışmanlık hizmetleri, bankamızın sadece fon toplayan ve finansman sağlayan bir yapıdan, müşterilerinin servetini yöneten ve büyüten bütüncül bir finansal çözüm ortağına dönüşümünü tamamlayacaktır. Bu stratejik alanlar, önümüzdeki dönemde kârlı ve sürdürülebilir büyümemizin temel direklerini oluşturacaktır.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 birkaç yılda hangi bankacılık, sigorta ve diğer finansal ürünlerde…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