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Katılım finans sektörü, 2024’ün ilk yarısı itibarıyla ekonomik koşulların…</w:t>
      </w:r>
    </w:p>
    <w:p>
      <w:r>
        <w:rPr>
          <w:i/>
          <w:color w:val="5F6B7A"/>
          <w:sz w:val="18"/>
        </w:rPr>
        <w:t>Metin türü: Kurumsal İletişim Metni · Tarih: 17 Mart 2026 · Kalite skoru: 97/100 · Dil: Türkçe</w:t>
      </w:r>
    </w:p>
    <w:p>
      <w:pPr>
        <w:jc w:val="both"/>
      </w:pPr>
      <w:r>
        <w:t>2024 yılının ilk yarısı, küresel ve yerel ölçekte fiyat istikrarını tesis etmeye yönelik para politikalarının belirleyici olduğu, finansal koşulların yeniden şekillendiği bir dönemi işaret etmektedir. Bu süreçte, Türkiye Cumhuriyet Merkez Bankası tarafından uygulanan sıkı para politikası ve bu politikayı destekleyen makro ihtiyati tedbirler, ekonomimizde dengelenme sürecinin en önemli unsurları olmuştur. Katılım finans sektörü olarak bizler, gerçek varlığa dayalı iş yapış modelimiz ve reel sektöre dayalı bilanço yapımız gereği, bu dönemin dinamiklerini yakından takip ettik. Ortalama fonlama maliyetinin Şubat 2026 itibarıyla yüzde 37 seviyesinde seyrettiği bu dönemde, fiyat istikrarı odaklı atılan adımların ekonomik aktivitede oluşturduğu seçici yavaşlama, sektörümüzün kâr marjları üzerinde doğal bir baskı unsuru yaratmıştır. Ancak bu tablo, aynı zamanda risk yönetimi ve aktif kalitesinin önemini bir kez daha ortaya koyarak, sağlam temellere sahip kurumların dayanıklılığını test eden bir fırsat dönemi olmuştur.</w:t>
      </w:r>
    </w:p>
    <w:p>
      <w:pPr>
        <w:jc w:val="both"/>
      </w:pPr>
      <w:r>
        <w:t>Bankamız, bu zorlu konjonktürde dahi katılım finans ilkelerinden ve ihtiyatlı risk yönetimi anlayışından taviz vermeden istikrarlı performansını sürdürmeyi başarmıştır. Nitekim 2025 yıl sonu itibarıyla aktif büyüklüğümüzü 1.352 milyar TL seviyesine taşırken, net kârımızı 40,4 milyar TL’ye ulaştırdık. Topladığımız fonları 900 milyar TL’ye yükseltirken, bu kaynakları ülkemizin üretimine, ihracatına ve istihdamına yönlendirme misyonumuzla kullandırdığımız fon büyüklüğünü 654 milyar TL’ye çıkardık. Finansman talebindeki yavaşlamaya rağmen, özellikle stratejik sektörlere, KOBİ’lere ve ihracatçılarımıza yönelik sunduğumuz yenilikçi çözümlerle reel ekonominin en büyük destekçilerinden biri olmayı sürdürdük. Bu dönemde artan konkordato vakalarına karşı proaktif risk yönetimi politikalarımız ve yüzde 22,1’lik güçlü sermaye yeterlilik rasyomuz sayesinde aktif kalitemizi sektör ortalamasının üzerinde bir seviyede korumayı başardık.</w:t>
      </w:r>
    </w:p>
    <w:p>
      <w:pPr>
        <w:jc w:val="both"/>
      </w:pPr>
      <w:r>
        <w:t>Bu geçiş dönemini, sadece mevcut koşulları yönetmekle kalmayıp aynı zamanda geleceğin büyüme döngüsüne hazırlanmak için bir fırsat olarak görüyoruz. Dijitalleşme stratejimiz çerçevesinde, teknoloji iştirakimiz Architecht tarafından geliştirilen çözümlerle operasyonel verimliliğimizi artırırken, müşterilerimize kesintisiz ve üstün bir dijital deneyim sunmaya devam ediyoruz. Kuveyt Türk Mobil üzerinden sunduğumuz uçtan uca dijital finansman ürünleri ve Self Nokta gibi yenilikçi hizmet kanallarımızla müşterilerimizin finansal ihtiyaçlarına anında çözüm üretiyoruz. Zayıf finansman talebi ortamında dahi, Lonca Girişimcilik Merkezi ve Lonca GSYF aracılığıyla ülkemizin geleceğine yatırım yapmaktan, yenilikçi fikirleri desteklemekten geri durmadık. Bu yatırımlar, ekonomik aktivitenin yeniden canlanacağı dönemde bizi rakiplerimizden pozitif ayrıştıracak en önemli rekabet avantajlarımız olacaktır.</w:t>
      </w:r>
    </w:p>
    <w:p>
      <w:pPr>
        <w:jc w:val="both"/>
      </w:pPr>
      <w:r>
        <w:t>Önümüzdeki sürece baktığımızda, dezenflasyon sürecinin belirginleşmesiyle birlikte para politikasında normalleşme adımlarının atılacağını ve makro ihtiyati çerçevenin kademeli olarak gevşetileceğini öngörüyoruz. Reel kesim güven endeksinin Şubat 2026 itibarıyla 104,1 seviyesine yükselerek iyimser bir tablo çizmesi, ertelenmiş yatırım ve tüketim talebini harekete geçirerek ekonomik aktiviteyi yeniden canlandıracağına dair beklentileri güçlendirmektedir. Bu yeni dönem, hem bankacılık sektörü hem de katılım finans sektörü için çok daha pozitif bir büyüme ortamı sunacaktır. Kuveyt Türk olarak, sağlam sermaye yapımız, güçlü likiditemiz, teknolojik altyapımız ve en önemlisi insan kaynağımızın yetkinliğiyle bu yeni döneme en hazır kurumlardan biriyiz. Bugün attığımız temkinli ve stratejik adımların meyvelerini, yarının canlanan ekonomisinde toplayarak katılım finans ekosistemini büyütmeye ve tüm paydaşlarımız için değer üretmeye devam edeceğiz.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Katılım finans sektörü, 2024’ün ilk yarısı itibarıyla ekonomik koşulların…</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