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Yeni yılda bankacılık sektöründe kârlılık ve sürdürülebilir büyüme dengesini…</w:t>
      </w:r>
    </w:p>
    <w:p>
      <w:r>
        <w:rPr>
          <w:i/>
          <w:color w:val="5F6B7A"/>
          <w:sz w:val="18"/>
        </w:rPr>
        <w:t>Metin türü: Kurumsal İletişim Metni · Tarih: 5 Mart 2026 · Kalite skoru: 84/100 · Dil: Türkçe</w:t>
      </w:r>
    </w:p>
    <w:p>
      <w:pPr>
        <w:keepNext/>
        <w:spacing w:before="240"/>
      </w:pPr>
      <w:r>
        <w:rPr>
          <w:b/>
        </w:rPr>
        <w:t>1. Yeni yılda bankacılık sektöründe kârlılık ve sürdürülebilir büyüme dengesini en çok hangi dinamikler belirleyecek?</w:t>
      </w:r>
    </w:p>
    <w:p>
      <w:pPr>
        <w:jc w:val="both"/>
      </w:pPr>
      <w:r>
        <w:t>Yeni yılda sektörümüzün kârlılık ve büyüme dengesini şekillendirecek en temel dinamik, aktif-pasif yönetimi ile kaynak kompozisyonunun optimizasyonu olacaktır. Küresel para politikaları ve yurt içindeki dezenflasyon süreci, kâr payı marjlarının yönetiminde seçici bir yaklaşımı zorunlu kılmaktadır. Bankamız, reel sektörü destekleyen finansman modelleriyle büyümesini sürdürürken, operasyonel verimliliği merkezine alan bir stratejiyle kârlılığını korumayı hedeflemektedir. Dijitalleşme yatırımlarımızın sağladığı maliyet avantajı, sürdürülebilir kârlılık hedeflerimize ulaşmamızda en büyük destekçimiz olacaktır.</w:t>
      </w:r>
    </w:p>
    <w:p>
      <w:pPr>
        <w:jc w:val="both"/>
      </w:pPr>
      <w:r>
        <w:t>Sürdürülebilir büyümenin anahtarı, katılım finans prensiplerine dayalı gerçek varlık odaklı iş modelimizdir. 2025 yıl sonu itibarıyla aktif büyüklüğümüz 1,35 trilyon TL’ye, net dönem kârımız ise 40,4 milyar TL’ye ulaşmıştır. 2026 yılında da dengeli bir bilanço yapısı ve güçlü özkaynak kârlılığı ile sektördeki öncü konumumuzu pekiştireceğiz. İhracat, üretim ve yatırım odaklı finansman kanallarını açık tutarak, ülke ekonomisine katma değer sağlamaya ve risk-getiri dengesini optimize etmeye devam edeceğiz.</w:t>
      </w:r>
    </w:p>
    <w:p>
      <w:pPr>
        <w:keepNext/>
        <w:spacing w:before="240"/>
      </w:pPr>
      <w:r>
        <w:rPr>
          <w:b/>
        </w:rPr>
        <w:t>2. Müşteri beklentilerinin hızla değiştiği bir dönemde bankalar nasıl daha “bütüncül finansal çözüm sağlayıcısı” olabilir?</w:t>
      </w:r>
    </w:p>
    <w:p>
      <w:pPr>
        <w:jc w:val="both"/>
      </w:pPr>
      <w:r>
        <w:t>Müşterilerimizin finansal ihtiyaçları, sadece bir finansman ürünü kullanmaktan ziyade, yaşam döngülerini kolaylaştıran uçtan uca bir deneyim beklentisine evrilmiştir. Kuveyt Türk olarak, “bütüncül finansal çözüm sağlayıcısı” vizyonumuzu; finansal okuryazarlığı artıran, yatırımları koruyan ve dijital kanallar üzerinden anlık çözümler sunan bir ekosistem üzerine inşa ediyoruz. API bankacılığı ve servis modeli bankacılığı gibi yenilikçi yaklaşımlarımızla, bankacılık hizmetlerimizi müşterilerimizin günlük yaşam akışına entegre ediyoruz.</w:t>
      </w:r>
    </w:p>
    <w:p>
      <w:pPr>
        <w:jc w:val="both"/>
      </w:pPr>
      <w:r>
        <w:t>Bütüncül yaklaşımımız, iştiraklerimizin sunduğu portföy yönetimi, sigorta ve teknoloji çözümleriyle zenginleşmektedir. Yapay zekâ destekli analiz araçlarımızla müşterilerimizin finansal sağlığını korumasına yardımcı olurken, ihtiyaç duydukları anda en uygun finansman modelini sunan proaktif bir yapı kurguluyoruz. 2026 yılında 10 milyon müşteriye ulaşma hedefimiz doğrultusunda, her bir müşterimizin finansal yolculuğunda güvenilir bir çözüm ortağı olmaya devam edeceğiz.</w:t>
      </w:r>
    </w:p>
    <w:p>
      <w:pPr>
        <w:keepNext/>
        <w:spacing w:before="240"/>
      </w:pPr>
      <w:r>
        <w:rPr>
          <w:b/>
        </w:rPr>
        <w:t>3. Risk yönetimi perspektifinden bakıldığında, 2026’da bankaların en kritik risk başlıkları neler olacak?</w:t>
      </w:r>
    </w:p>
    <w:p>
      <w:pPr>
        <w:jc w:val="both"/>
      </w:pPr>
      <w:r>
        <w:t>2026 yılı, bankacılık sektörü için risk yönetimi disiplininin her zamankinden daha kritik olduğu bir yıl olacaktır. Küresel jeopolitik gelişmelerin yarattığı belirsizlikler ve piyasalardaki oynaklık, aktif kalitesinin korunmasını temel önceliğimiz haline getirmektedir. Bankamız, 36 yıllık tecrübesiyle geliştirdiği sağlam risk yönetimi çerçevesi sayesinde, olası dalgalanmalara karşı proaktif bir duruş sergilemektedir. Kredi riskinin izlenmesinde sektör bazlı seçici yaklaşımımızı sürdürerek, finansman kalitemizi en üst seviyede tutacağız.</w:t>
      </w:r>
    </w:p>
    <w:p>
      <w:pPr>
        <w:jc w:val="both"/>
      </w:pPr>
      <w:r>
        <w:t>Dijitalleşmenin getirdiği siber güvenlik ve operasyonel riskler de 2026 gündemimizin üst sıralarında yer almaktadır. Teknolojik altyapımızı en güncel güvenlik protokolleriyle korurken, veri gizliliği ve siber dayanıklılık yatırımlarımızı artırıyoruz. Ayrıca, iklim değişikliği ile bağlantılı geçiş risklerini sürdürülebilir finans stratejimizin bir parçası olarak süreçlerimize entegre ettik. Yüzde 22,11 seviyesindeki sermaye yeterliliği rasyomuz ve ihtiyatlı risk yönetimi anlayışımızla, karşılaşılabilecek her türlü zorluğa karşı hazırlıklı olmaya ve paydaşlarımızın güvenini korumaya kararlıyız.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yılda bankacılık sektöründe kârlılık ve sürdürülebilir büyüme dengesini…</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